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8.jpeg" ContentType="image/jpeg"/>
  <Override PartName="/word/media/image17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генератор резервного электроснабжения 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285750</wp:posOffset>
            </wp:positionH>
            <wp:positionV relativeFrom="paragraph">
              <wp:posOffset>190500</wp:posOffset>
            </wp:positionV>
            <wp:extent cx="1362075" cy="51435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 воздушным охлаждением в контейнере.</w:t>
      </w:r>
    </w:p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480" w:before="0" w:after="0"/>
        <w:jc w:val="right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HG</w:t>
      </w:r>
      <w:r>
        <w:rPr>
          <w:rFonts w:eastAsia="Times New Roman" w:cs="Calibri"/>
          <w:b/>
          <w:bCs/>
          <w:sz w:val="28"/>
          <w:szCs w:val="28"/>
          <w:lang w:eastAsia="ru-RU"/>
        </w:rPr>
        <w:t>10-230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(10,0 кВт) </w:t>
      </w: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                     </w:t>
      </w:r>
    </w:p>
    <w:p>
      <w:pPr>
        <w:pStyle w:val="Normal"/>
        <w:spacing w:lineRule="auto" w:line="24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    </w:t>
      </w: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323850</wp:posOffset>
            </wp:positionH>
            <wp:positionV relativeFrom="paragraph">
              <wp:posOffset>-238760</wp:posOffset>
            </wp:positionV>
            <wp:extent cx="1962150" cy="1647825"/>
            <wp:effectExtent l="0" t="0" r="0" b="0"/>
            <wp:wrapNone/>
            <wp:docPr id="1" name="Picture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6754" t="3251" r="567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       </w:t>
      </w:r>
    </w:p>
    <w:p>
      <w:pPr>
        <w:pStyle w:val="Normal"/>
        <w:spacing w:lineRule="auto" w:line="24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>HONDA GX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6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>9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0;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шумозащитный всепогодный миниконтейнер (новая разработка);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защита от атмосферных и температурных воздействий;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</w:t>
      </w:r>
      <w:bookmarkStart w:id="0" w:name="_GoBack"/>
      <w:bookmarkEnd w:id="0"/>
      <w:r>
        <w:rPr>
          <w:rFonts w:eastAsia="Times New Roman" w:cs="Arial" w:ascii="Arial" w:hAnsi="Arial"/>
          <w:b/>
          <w:sz w:val="18"/>
          <w:szCs w:val="18"/>
          <w:lang w:eastAsia="ru-RU"/>
        </w:rPr>
        <w:t>генератор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 xml:space="preserve"> (MeccAlte – 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Италия);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/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-30 до +40 градусов;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электростанция с низким уровнем шума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     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7"/>
        <w:gridCol w:w="4358"/>
      </w:tblGrid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 HG10-230S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8,5/9,5кВт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,5/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,0кВт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 xml:space="preserve"> А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1240х680х960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GX6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 (Honda)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см3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 кВт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 л.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кг/кВт.ч. (пропан) / 0,40 м3/кВт.ч. (метан)</w:t>
            </w:r>
          </w:p>
        </w:tc>
      </w:tr>
      <w:tr>
        <w:trPr>
          <w:trHeight w:val="360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6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514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7.jpeg"/><Relationship Id="rId3" Type="http://schemas.openxmlformats.org/officeDocument/2006/relationships/image" Target="media/image18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AFC5-4274-4278-B041-0F1903E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2014-11-19T06:11:00Z</cp:lastPrinted>
  <dcterms:modified xsi:type="dcterms:W3CDTF">2015-11-23T08:47:00Z</dcterms:modified>
  <cp:revision>73</cp:revision>
</cp:coreProperties>
</file>