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трехфазный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 воздушным охлаждением.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182880</wp:posOffset>
            </wp:positionH>
            <wp:positionV relativeFrom="paragraph">
              <wp:posOffset>-154940</wp:posOffset>
            </wp:positionV>
            <wp:extent cx="1205865" cy="47434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 HG</w:t>
      </w:r>
      <w:r>
        <w:rPr>
          <w:rFonts w:eastAsia="Times New Roman" w:cs="Calibri"/>
          <w:b/>
          <w:sz w:val="28"/>
          <w:szCs w:val="28"/>
          <w:lang w:eastAsia="ru-RU"/>
        </w:rPr>
        <w:t>10-380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(10,0 кВт).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371475</wp:posOffset>
            </wp:positionH>
            <wp:positionV relativeFrom="paragraph">
              <wp:posOffset>-192405</wp:posOffset>
            </wp:positionV>
            <wp:extent cx="1561465" cy="158559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0597" t="0" r="18553" b="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Honda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бесщеточный генератор </w:t>
      </w:r>
      <w:r>
        <w:rPr>
          <w:rFonts w:cs="Arial" w:ascii="Arial" w:hAnsi="Arial"/>
          <w:b/>
          <w:sz w:val="18"/>
          <w:szCs w:val="18"/>
        </w:rPr>
        <w:t>MeccAlte (Италия);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электростанция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26"/>
        <w:gridCol w:w="4358"/>
      </w:tblGrid>
      <w:tr>
        <w:trPr>
          <w:trHeight w:val="314" w:hRule="atLeast"/>
          <w:cantSplit w:val="false"/>
        </w:trPr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REG HG</w:t>
            </w:r>
            <w:r>
              <w:rPr>
                <w:b/>
              </w:rPr>
              <w:t>10-380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10,0 кВт)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кВт/9,5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 кВт/10,0 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В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 xml:space="preserve"> А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970х60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х720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13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Honda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630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 л.с./14,7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л.</w:t>
            </w:r>
          </w:p>
        </w:tc>
      </w:tr>
      <w:tr>
        <w:trPr>
          <w:trHeight w:val="314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13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дБ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326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Symbol"/>
      <w:sz w:val="20"/>
    </w:rPr>
  </w:style>
  <w:style w:type="character" w:styleId="ListLabel3">
    <w:name w:val="ListLabel 3"/>
    <w:rPr>
      <w:rFonts w:cs="Courier New"/>
      <w:sz w:val="20"/>
    </w:rPr>
  </w:style>
  <w:style w:type="character" w:styleId="ListLabel4">
    <w:name w:val="ListLabel 4"/>
    <w:rPr>
      <w:rFonts w:cs="Wingdings"/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9000-8978-4C33-A902-5387DF1D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2012-05-02T12:55:00Z</cp:lastPrinted>
  <dcterms:modified xsi:type="dcterms:W3CDTF">2015-11-23T08:46:00Z</dcterms:modified>
  <cp:revision>46</cp:revision>
</cp:coreProperties>
</file>