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media/image18.jpeg" ContentType="image/jpeg"/>
  <Override PartName="/word/media/image17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480" w:before="0" w:after="0"/>
        <w:jc w:val="right"/>
        <w:outlineLvl w:val="0"/>
        <w:rPr>
          <w:rFonts w:eastAsia="Times New Roman" w:cs="Calibri"/>
          <w:b/>
          <w:bCs/>
          <w:sz w:val="28"/>
          <w:szCs w:val="28"/>
          <w:lang w:eastAsia="ru-RU"/>
        </w:rPr>
      </w:pPr>
      <w:r>
        <w:rPr>
          <w:rFonts w:eastAsia="Times New Roman" w:cs="Calibri"/>
          <w:b/>
          <w:bCs/>
          <w:sz w:val="28"/>
          <w:szCs w:val="28"/>
          <w:lang w:eastAsia="ru-RU"/>
        </w:rPr>
        <w:t xml:space="preserve">Газовый трехфазный генератор резервного электроснабжения </w:t>
      </w:r>
    </w:p>
    <w:p>
      <w:pPr>
        <w:pStyle w:val="Normal"/>
        <w:spacing w:lineRule="auto" w:line="480" w:before="0" w:after="0"/>
        <w:jc w:val="right"/>
        <w:outlineLvl w:val="0"/>
        <w:rPr>
          <w:rFonts w:eastAsia="Times New Roman" w:cs="Calibri"/>
          <w:b/>
          <w:bCs/>
          <w:sz w:val="28"/>
          <w:szCs w:val="28"/>
          <w:lang w:eastAsia="ru-RU"/>
        </w:rPr>
      </w:pPr>
      <w:r>
        <w:rPr>
          <w:rFonts w:eastAsia="Times New Roman" w:cs="Calibri"/>
          <w:b/>
          <w:bCs/>
          <w:sz w:val="28"/>
          <w:szCs w:val="28"/>
          <w:lang w:eastAsia="ru-RU"/>
        </w:rPr>
        <w:t>с</w:t>
        <w:drawing>
          <wp:anchor behindDoc="0" distT="0" distB="0" distL="114300" distR="114300" simplePos="0" locked="0" layoutInCell="1" allowOverlap="1" relativeHeight="1">
            <wp:simplePos x="0" y="0"/>
            <wp:positionH relativeFrom="column">
              <wp:posOffset>104775</wp:posOffset>
            </wp:positionH>
            <wp:positionV relativeFrom="paragraph">
              <wp:posOffset>27305</wp:posOffset>
            </wp:positionV>
            <wp:extent cx="1223010" cy="491490"/>
            <wp:effectExtent l="0" t="0" r="0" b="0"/>
            <wp:wrapNone/>
            <wp:docPr id="0" name="Picture" descr="Логотип РУСИНЖГРУ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Логотип РУСИНЖГРУПП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25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Calibri"/>
          <w:b/>
          <w:bCs/>
          <w:sz w:val="28"/>
          <w:szCs w:val="28"/>
          <w:lang w:eastAsia="ru-RU"/>
        </w:rPr>
        <w:t xml:space="preserve"> воздушным охлаждением.</w:t>
      </w:r>
    </w:p>
    <w:p>
      <w:pPr>
        <w:pStyle w:val="Normal"/>
        <w:spacing w:lineRule="auto" w:line="480" w:before="0" w:after="0"/>
        <w:jc w:val="right"/>
        <w:rPr>
          <w:rFonts w:eastAsia="Times New Roman" w:cs="Calibri"/>
          <w:b/>
          <w:bCs/>
          <w:sz w:val="28"/>
          <w:szCs w:val="28"/>
          <w:lang w:eastAsia="ru-RU"/>
        </w:rPr>
      </w:pPr>
      <w:r>
        <w:rPr>
          <w:rFonts w:eastAsia="Times New Roman" w:cs="Calibri"/>
          <w:b/>
          <w:sz w:val="28"/>
          <w:szCs w:val="28"/>
          <w:lang w:eastAsia="ru-RU"/>
        </w:rPr>
        <w:t xml:space="preserve">Модель </w:t>
      </w:r>
      <w:r>
        <w:rPr>
          <w:rFonts w:eastAsia="Times New Roman" w:cs="Calibri"/>
          <w:b/>
          <w:sz w:val="28"/>
          <w:szCs w:val="28"/>
          <w:lang w:val="en-US" w:eastAsia="ru-RU"/>
        </w:rPr>
        <w:t>REG HG</w:t>
      </w:r>
      <w:r>
        <w:rPr>
          <w:rFonts w:eastAsia="Times New Roman" w:cs="Calibri"/>
          <w:b/>
          <w:sz w:val="28"/>
          <w:szCs w:val="28"/>
          <w:lang w:eastAsia="ru-RU"/>
        </w:rPr>
        <w:t>12-380</w:t>
      </w:r>
      <w:r>
        <w:rPr>
          <w:rFonts w:eastAsia="Times New Roman" w:cs="Calibri"/>
          <w:b/>
          <w:bCs/>
          <w:sz w:val="28"/>
          <w:szCs w:val="28"/>
          <w:lang w:eastAsia="ru-RU"/>
        </w:rPr>
        <w:t xml:space="preserve"> (11,0 кВт).</w:t>
      </w:r>
    </w:p>
    <w:p>
      <w:pPr>
        <w:pStyle w:val="Normal"/>
        <w:spacing w:lineRule="auto" w:line="480" w:before="0" w:after="0"/>
        <w:jc w:val="center"/>
        <w:rPr>
          <w:rFonts w:eastAsia="Times New Roman" w:cs="Arial" w:ascii="Arial" w:hAnsi="Arial"/>
          <w:b/>
          <w:bCs/>
          <w:sz w:val="32"/>
          <w:szCs w:val="32"/>
          <w:lang w:eastAsia="ru-RU"/>
        </w:rPr>
      </w:pPr>
      <w:r>
        <w:rPr>
          <w:rFonts w:eastAsia="Times New Roman" w:cs="Arial" w:ascii="Arial" w:hAnsi="Arial"/>
          <w:b/>
          <w:bCs/>
          <w:sz w:val="32"/>
          <w:szCs w:val="32"/>
          <w:lang w:eastAsia="ru-RU"/>
        </w:rPr>
        <w:drawing>
          <wp:anchor behindDoc="0" distT="0" distB="0" distL="114300" distR="114300" simplePos="0" locked="0" layoutInCell="1" allowOverlap="1" relativeHeight="0">
            <wp:simplePos x="0" y="0"/>
            <wp:positionH relativeFrom="column">
              <wp:posOffset>4537710</wp:posOffset>
            </wp:positionH>
            <wp:positionV relativeFrom="paragraph">
              <wp:posOffset>241300</wp:posOffset>
            </wp:positionV>
            <wp:extent cx="1811655" cy="1913255"/>
            <wp:effectExtent l="0" t="0" r="0" b="0"/>
            <wp:wrapNone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10564" t="0" r="18175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191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eastAsia="Times New Roman" w:cs="Arial" w:ascii="Arial" w:hAnsi="Arial"/>
          <w:b/>
          <w:bCs/>
          <w:sz w:val="40"/>
          <w:szCs w:val="40"/>
          <w:lang w:eastAsia="ru-RU"/>
        </w:rPr>
      </w:pPr>
      <w:r>
        <w:rPr>
          <w:rFonts w:eastAsia="Times New Roman" w:cs="Arial" w:ascii="Arial" w:hAnsi="Arial"/>
          <w:b/>
          <w:bCs/>
          <w:sz w:val="40"/>
          <w:szCs w:val="40"/>
          <w:lang w:eastAsia="ru-RU"/>
        </w:rPr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cs="Arial" w:ascii="Arial" w:hAnsi="Arial"/>
          <w:b/>
          <w:sz w:val="18"/>
          <w:szCs w:val="18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 xml:space="preserve">оригинальный двигатель </w:t>
      </w:r>
      <w:r>
        <w:rPr>
          <w:rFonts w:cs="Arial" w:ascii="Arial" w:hAnsi="Arial"/>
          <w:b/>
          <w:sz w:val="18"/>
          <w:szCs w:val="18"/>
          <w:lang w:val="en-US"/>
        </w:rPr>
        <w:t>HONDA 690</w:t>
      </w:r>
      <w:r>
        <w:rPr>
          <w:rFonts w:cs="Arial" w:ascii="Arial" w:hAnsi="Arial"/>
          <w:b/>
          <w:sz w:val="18"/>
          <w:szCs w:val="18"/>
        </w:rPr>
        <w:t>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cs="Arial" w:ascii="Arial" w:hAnsi="Arial"/>
          <w:b/>
          <w:sz w:val="18"/>
          <w:szCs w:val="18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 xml:space="preserve">синхронный альтернатор </w:t>
      </w:r>
      <w:r>
        <w:rPr>
          <w:rFonts w:cs="Arial" w:ascii="Arial" w:hAnsi="Arial"/>
          <w:b/>
          <w:sz w:val="18"/>
          <w:szCs w:val="18"/>
        </w:rPr>
        <w:t>(Италия);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электрический старт;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выбор топлива – метан/пропан-бутан/биогаз;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cs="Arial" w:ascii="Arial" w:hAnsi="Arial"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уникальная система смесеобразования;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более высокая выходная мощность по сравнению с аналогами;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температурный режим эксплуатации от -30 до +40 градусов;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возможность оборудования комплектом автозапуска (АВР);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надежный запуск и работа при низком давлении газовой магистрали;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 xml:space="preserve">датчик уровня масла с автоматической остановкой двигателя;  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 xml:space="preserve">разрешается установка внутри помещений (с соблюдением технических условий); 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надежная электростанция для использования в загородных домах, стройплощадках и других объектах в качестве резервного источника питания.</w:t>
      </w:r>
    </w:p>
    <w:p>
      <w:pPr>
        <w:pStyle w:val="Normal"/>
        <w:spacing w:lineRule="auto" w:line="240" w:beforeAutospacing="1" w:afterAutospacing="1"/>
        <w:rPr>
          <w:rFonts w:eastAsia="Times New Roman" w:cs="Arial" w:ascii="Arial" w:hAnsi="Arial"/>
          <w:b/>
          <w:bCs/>
          <w:sz w:val="28"/>
          <w:szCs w:val="28"/>
          <w:lang w:eastAsia="ru-RU"/>
        </w:rPr>
      </w:pPr>
      <w:r>
        <w:rPr>
          <w:rFonts w:eastAsia="Times New Roman" w:cs="Arial" w:ascii="Arial" w:hAnsi="Arial"/>
          <w:b/>
          <w:bCs/>
          <w:sz w:val="28"/>
          <w:szCs w:val="28"/>
          <w:lang w:eastAsia="ru-RU"/>
        </w:rPr>
        <w:t>Спецификация</w:t>
      </w:r>
    </w:p>
    <w:tbl>
      <w:tblPr>
        <w:jc w:val="left"/>
        <w:tblInd w:w="534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9"/>
        <w:gridCol w:w="4216"/>
      </w:tblGrid>
      <w:tr>
        <w:trPr>
          <w:trHeight w:val="314" w:hRule="atLeast"/>
          <w:cantSplit w:val="false"/>
        </w:trPr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BFBFBF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  <w:t>Генератор</w:t>
            </w:r>
          </w:p>
        </w:tc>
        <w:tc>
          <w:tcPr>
            <w:tcW w:w="4216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FBFBF" w:val="clear"/>
          </w:tcPr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  <w:lang w:val="en-US"/>
              </w:rPr>
              <w:t>REG GG12</w:t>
            </w:r>
            <w:r>
              <w:rPr>
                <w:b/>
              </w:rPr>
              <w:t>-380</w:t>
            </w:r>
          </w:p>
        </w:tc>
      </w:tr>
      <w:tr>
        <w:trPr>
          <w:trHeight w:val="314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МЕТАН</w:t>
            </w:r>
            <w:r>
              <w:rPr>
                <w:sz w:val="20"/>
                <w:szCs w:val="20"/>
              </w:rPr>
              <w:t>. Номинальная мощность/Максимальная мощность</w:t>
            </w:r>
          </w:p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ПРОПАН</w:t>
            </w:r>
            <w:r>
              <w:rPr>
                <w:sz w:val="20"/>
                <w:szCs w:val="20"/>
              </w:rPr>
              <w:t>. Номинальная мощность/Максимальная мощность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 кВт/10,0 кВт</w:t>
            </w:r>
          </w:p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 кВт/11,0 кВт</w:t>
            </w:r>
          </w:p>
        </w:tc>
      </w:tr>
      <w:tr>
        <w:trPr>
          <w:trHeight w:val="298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мощности (</w:t>
            </w:r>
            <w:r>
              <w:rPr>
                <w:sz w:val="20"/>
                <w:szCs w:val="20"/>
                <w:lang w:val="en-US"/>
              </w:rPr>
              <w:t>cos</w:t>
            </w:r>
            <w:r>
              <w:rPr>
                <w:sz w:val="20"/>
                <w:szCs w:val="20"/>
              </w:rPr>
              <w:t>ф)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>
        <w:trPr>
          <w:trHeight w:val="314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Частота тока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Гц</w:t>
            </w:r>
          </w:p>
        </w:tc>
      </w:tr>
      <w:tr>
        <w:trPr>
          <w:trHeight w:val="298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Номинальное выходное напряжение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В</w:t>
            </w:r>
          </w:p>
        </w:tc>
      </w:tr>
      <w:tr>
        <w:trPr>
          <w:trHeight w:val="314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Фаза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>
        <w:trPr>
          <w:trHeight w:val="298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Сила тока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А</w:t>
            </w:r>
          </w:p>
        </w:tc>
      </w:tr>
      <w:tr>
        <w:trPr>
          <w:trHeight w:val="314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 постоянного тока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>
          <w:trHeight w:val="298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Автоматический регулятор напряжения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</w:tr>
      <w:tr>
        <w:trPr>
          <w:trHeight w:val="314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от перегрузки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</w:tr>
      <w:tr>
        <w:trPr>
          <w:trHeight w:val="298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Вес 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150</w:t>
            </w:r>
            <w:r>
              <w:rPr>
                <w:sz w:val="20"/>
                <w:szCs w:val="20"/>
              </w:rPr>
              <w:t xml:space="preserve"> кг</w:t>
            </w:r>
          </w:p>
        </w:tc>
      </w:tr>
      <w:tr>
        <w:trPr>
          <w:trHeight w:val="314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Габаритные размеры, мм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970х630х900</w:t>
            </w:r>
          </w:p>
        </w:tc>
      </w:tr>
      <w:tr>
        <w:trPr>
          <w:trHeight w:val="298" w:hRule="atLeast"/>
          <w:cantSplit w:val="false"/>
        </w:trPr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BFBFB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  <w:t>Двигатель</w:t>
            </w:r>
          </w:p>
        </w:tc>
        <w:tc>
          <w:tcPr>
            <w:tcW w:w="4216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FBFBF" w:val="clear"/>
            <w:vAlign w:val="center"/>
          </w:tcPr>
          <w:p>
            <w:pPr>
              <w:pStyle w:val="Normal"/>
              <w:spacing w:before="0" w:after="0"/>
              <w:rPr>
                <w:b/>
              </w:rPr>
            </w:pPr>
            <w:bookmarkStart w:id="0" w:name="_GoBack"/>
            <w:bookmarkStart w:id="1" w:name="_GoBack"/>
            <w:bookmarkEnd w:id="1"/>
            <w:r>
              <w:rPr>
                <w:b/>
              </w:rPr>
            </w:r>
          </w:p>
        </w:tc>
      </w:tr>
      <w:tr>
        <w:trPr>
          <w:trHeight w:val="314" w:hRule="atLeast"/>
          <w:cantSplit w:val="false"/>
        </w:trPr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Модель</w:t>
            </w:r>
          </w:p>
        </w:tc>
        <w:tc>
          <w:tcPr>
            <w:tcW w:w="4216" w:type="dxa"/>
            <w:tcBorders>
              <w:top w:val="single" w:sz="4" w:space="0" w:color="00000A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HONDA 690</w:t>
            </w:r>
          </w:p>
        </w:tc>
      </w:tr>
      <w:tr>
        <w:trPr>
          <w:trHeight w:val="298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двигателя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 см3</w:t>
            </w:r>
          </w:p>
        </w:tc>
      </w:tr>
      <w:tr>
        <w:trPr>
          <w:trHeight w:val="314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цилиндров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rPr>
          <w:trHeight w:val="298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,9 л.с./</w:t>
            </w:r>
            <w:r>
              <w:rPr>
                <w:sz w:val="20"/>
                <w:szCs w:val="20"/>
                <w:lang w:val="en-US"/>
              </w:rPr>
              <w:t>14</w:t>
            </w:r>
            <w:r>
              <w:rPr>
                <w:sz w:val="20"/>
                <w:szCs w:val="20"/>
              </w:rPr>
              <w:t>,8 кВт</w:t>
            </w:r>
          </w:p>
        </w:tc>
      </w:tr>
      <w:tr>
        <w:trPr>
          <w:trHeight w:val="314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Частота вращения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 об./мин.</w:t>
            </w:r>
          </w:p>
        </w:tc>
      </w:tr>
      <w:tr>
        <w:trPr>
          <w:trHeight w:val="298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масляной системы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 л.</w:t>
            </w:r>
          </w:p>
        </w:tc>
      </w:tr>
      <w:tr>
        <w:trPr>
          <w:trHeight w:val="314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Потребление топлива при максимальной нагрузке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 кг/кВт.ч. (пропан) / 0,40 м3/кВт.ч. (метан)</w:t>
            </w:r>
          </w:p>
        </w:tc>
      </w:tr>
      <w:tr>
        <w:trPr>
          <w:trHeight w:val="360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шума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дБ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7d68b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"/>
      <w:color w:val="auto"/>
      <w:sz w:val="22"/>
      <w:szCs w:val="22"/>
      <w:lang w:val="ru-RU" w:eastAsia="en-US" w:bidi="ar-SA"/>
    </w:rPr>
  </w:style>
  <w:style w:type="paragraph" w:styleId="2">
    <w:name w:val="Заголовок 2"/>
    <w:uiPriority w:val="9"/>
    <w:qFormat/>
    <w:link w:val="20"/>
    <w:rsid w:val="009a7cf9"/>
    <w:basedOn w:val="Normal"/>
    <w:pPr>
      <w:outlineLvl w:val="1"/>
    </w:pPr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3" w:customStyle="1">
    <w:name w:val="Текст выноски Знак"/>
    <w:uiPriority w:val="99"/>
    <w:semiHidden/>
    <w:link w:val="a3"/>
    <w:rsid w:val="009a7cf9"/>
    <w:basedOn w:val="DefaultParagraphFont"/>
    <w:rPr>
      <w:rFonts w:ascii="Tahoma" w:hAnsi="Tahoma" w:cs="Tahoma"/>
      <w:sz w:val="16"/>
      <w:szCs w:val="16"/>
    </w:rPr>
  </w:style>
  <w:style w:type="character" w:styleId="21" w:customStyle="1">
    <w:name w:val="Заголовок 2 Знак"/>
    <w:uiPriority w:val="9"/>
    <w:link w:val="2"/>
    <w:rsid w:val="009a7cf9"/>
    <w:basedOn w:val="DefaultParagraphFont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yle14" w:customStyle="1">
    <w:name w:val="Текст концевой сноски Знак"/>
    <w:uiPriority w:val="99"/>
    <w:semiHidden/>
    <w:link w:val="a7"/>
    <w:rsid w:val="00124e19"/>
    <w:basedOn w:val="DefaultParagraphFont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124e19"/>
    <w:basedOn w:val="DefaultParagraphFont"/>
    <w:rPr>
      <w:vertAlign w:val="superscript"/>
    </w:rPr>
  </w:style>
  <w:style w:type="character" w:styleId="ListLabel1">
    <w:name w:val="ListLabel 1"/>
    <w:rPr>
      <w:sz w:val="20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FreeSans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FreeSans"/>
    </w:rPr>
  </w:style>
  <w:style w:type="paragraph" w:styleId="BalloonText">
    <w:name w:val="Balloon Text"/>
    <w:uiPriority w:val="99"/>
    <w:semiHidden/>
    <w:unhideWhenUsed/>
    <w:link w:val="a4"/>
    <w:rsid w:val="009a7cf9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uiPriority w:val="34"/>
    <w:qFormat/>
    <w:rsid w:val="009a7cf9"/>
    <w:basedOn w:val="Normal"/>
    <w:pPr>
      <w:spacing w:before="0" w:after="200"/>
      <w:ind w:left="720" w:right="0" w:hanging="0"/>
      <w:contextualSpacing/>
    </w:pPr>
    <w:rPr/>
  </w:style>
  <w:style w:type="paragraph" w:styleId="Endnotetext">
    <w:name w:val="endnote text"/>
    <w:uiPriority w:val="99"/>
    <w:semiHidden/>
    <w:unhideWhenUsed/>
    <w:link w:val="a8"/>
    <w:rsid w:val="00124e19"/>
    <w:basedOn w:val="Normal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3402c"/>
    <w:pPr>
      <w:spacing w:line="240" w:after="0" w:lineRule="auto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7.jpeg"/><Relationship Id="rId3" Type="http://schemas.openxmlformats.org/officeDocument/2006/relationships/image" Target="media/image18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0E565-7CC7-40A6-8008-3EB542674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2012-04-27T08:55:00Z</dcterms:created>
  <dc:creator>Anton</dc:creator>
  <dc:language>ru-RU</dc:language>
  <cp:lastModifiedBy>абракадабра</cp:lastModifiedBy>
  <cp:lastPrinted>2013-02-12T06:26:00Z</cp:lastPrinted>
  <dcterms:modified xsi:type="dcterms:W3CDTF">2015-11-23T08:49:00Z</dcterms:modified>
  <cp:revision>59</cp:revision>
</cp:coreProperties>
</file>