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4.jpeg" ContentType="image/jpeg"/>
  <Override PartName="/word/media/image23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544830</wp:posOffset>
            </wp:positionH>
            <wp:positionV relativeFrom="paragraph">
              <wp:posOffset>147955</wp:posOffset>
            </wp:positionV>
            <wp:extent cx="1084580" cy="37973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HG</w:t>
      </w:r>
      <w:r>
        <w:rPr>
          <w:rFonts w:eastAsia="Times New Roman" w:cs="Calibri"/>
          <w:b/>
          <w:bCs/>
          <w:sz w:val="28"/>
          <w:szCs w:val="28"/>
          <w:lang w:eastAsia="ru-RU"/>
        </w:rPr>
        <w:t>7500(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SE</w:t>
      </w:r>
      <w:r>
        <w:rPr>
          <w:rFonts w:eastAsia="Times New Roman" w:cs="Calibri"/>
          <w:b/>
          <w:bCs/>
          <w:sz w:val="28"/>
          <w:szCs w:val="28"/>
          <w:lang w:eastAsia="ru-RU"/>
        </w:rPr>
        <w:t>) (6,0 кВт).</w:t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4659630</wp:posOffset>
            </wp:positionH>
            <wp:positionV relativeFrom="paragraph">
              <wp:posOffset>154940</wp:posOffset>
            </wp:positionV>
            <wp:extent cx="1740535" cy="1423035"/>
            <wp:effectExtent l="0" t="0" r="0" b="0"/>
            <wp:wrapNone/>
            <wp:docPr id="1" name="Picture" descr="\\PAVEL\Users\Public\Documents\ПАПКА РАБОЧИЙ СТОЛ\фото\белые\HG7500 SE 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\\PAVEL\Users\Public\Documents\ПАПКА РАБОЧИЙ СТОЛ\фото\белые\HG7500 SE газ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0229" t="5796" r="8257" b="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Times New Roman" w:ascii="Times New Roman" w:hAnsi="Times New Roman"/>
          <w:color w:val="000000"/>
          <w:w w:val="0"/>
          <w:sz w:val="0"/>
          <w:szCs w:val="0"/>
          <w:u w:val="none" w:color="000000"/>
          <w:shd w:fill="000000" w:val="clear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оригинальный двигатель HONDA GX390 (Япония);</w:t>
      </w:r>
      <w:r>
        <w:rPr>
          <w:rFonts w:eastAsia="Times New Roman" w:cs="Times New Roman" w:ascii="Times New Roman" w:hAnsi="Times New Roman"/>
          <w:color w:val="000000"/>
          <w:w w:val="0"/>
          <w:sz w:val="0"/>
          <w:szCs w:val="0"/>
          <w:u w:val="none" w:color="000000"/>
          <w:shd w:fill="000000" w:val="clear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модель альтернатора 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Linz (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Италия);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ручной старти электрический старт (аккумулятор в комплекте);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увеличенный срок эксплуатации;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современный синхронный генератор бесщёточного типа;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разрешается установка внутри помещений (с соблюдением технических условий);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подачи газового топлива;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встроенный датчик давления газа в газовом генераторе, дающий возможность работы при сверх низком давлении в магистрали (до 0,8 кПа);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формирование пусковой дозы для полностью легкого запуска;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звуковой сигнал, напоминающий о необходимости проведения ТО;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устойчивость при кратковременной пиковой перегрузке до 7,5 кВа (включение мощных потребителей);</w:t>
      </w:r>
    </w:p>
    <w:p>
      <w:pPr>
        <w:pStyle w:val="Normal"/>
        <w:numPr>
          <w:ilvl w:val="0"/>
          <w:numId w:val="1"/>
        </w:numPr>
        <w:spacing w:lineRule="auto" w:line="36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надежная, мощная мини электростанция, идеально подходит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4820"/>
      </w:tblGrid>
      <w:tr>
        <w:trPr>
          <w:trHeight w:val="223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82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HG</w:t>
            </w: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500(SE)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82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5,0кВт/5,5 кВт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кВт/6,0 кВт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 А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680х510х510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82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Start w:id="1" w:name="_GoBack"/>
            <w:bookmarkEnd w:id="1"/>
            <w:r>
              <w:rPr>
                <w:b/>
              </w:rPr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82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HONDA GX</w:t>
            </w:r>
            <w:r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см3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 л.с./9,5 квт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1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л.</w:t>
            </w:r>
          </w:p>
        </w:tc>
      </w:tr>
      <w:tr>
        <w:trPr>
          <w:trHeight w:val="223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256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a67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ListLabel1">
    <w:name w:val="ListLabel 1"/>
    <w:rPr>
      <w:sz w:val="20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3.jpeg"/><Relationship Id="rId3" Type="http://schemas.openxmlformats.org/officeDocument/2006/relationships/image" Target="media/image24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64FD-64C0-41AF-8453-4E4E2697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2012-05-02T12:54:00Z</cp:lastPrinted>
  <dcterms:modified xsi:type="dcterms:W3CDTF">2015-11-23T08:50:00Z</dcterms:modified>
  <cp:revision>45</cp:revision>
</cp:coreProperties>
</file>